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3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исполнении текстовых статей Закона Оренбургской облас</w:t>
      </w:r>
      <w:r>
        <w:rPr>
          <w:b/>
          <w:sz w:val="28"/>
          <w:szCs w:val="28"/>
        </w:rPr>
        <w:t xml:space="preserve">ти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областном бюджете на 20</w:t>
      </w:r>
      <w:r>
        <w:rPr>
          <w:b/>
          <w:sz w:val="28"/>
          <w:szCs w:val="28"/>
        </w:rPr>
        <w:t xml:space="preserve">25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на плановый период 20</w:t>
      </w:r>
      <w:r>
        <w:rPr>
          <w:b/>
          <w:sz w:val="28"/>
          <w:szCs w:val="28"/>
        </w:rPr>
        <w:t xml:space="preserve">26</w:t>
      </w:r>
      <w:r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 xml:space="preserve">27</w:t>
      </w:r>
      <w:r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5572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521"/>
        <w:gridCol w:w="5953"/>
        <w:gridCol w:w="3098"/>
      </w:tblGrid>
      <w:tr>
        <w:tblPrEx/>
        <w:trPr>
          <w:trHeight w:val="20"/>
          <w:tblHeader/>
        </w:trPr>
        <w:tc>
          <w:tcPr>
            <w:shd w:val="clear" w:color="auto" w:fill="auto"/>
            <w:tcW w:w="652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Содержание статьи закона о бюджете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95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Результат исполнения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309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Причины 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неисполнения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  <w:tblHeader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pStyle w:val="943"/>
              <w:ind w:left="0" w:firstLine="25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firstLine="25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firstLine="25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Статья 14, часть 4: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contextualSpacing/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 xml:space="preserve">Установить, что размеры дотаций на поддержку мер по обеспечению сбалансированности бюджетов муниципальных образований, в том числе н</w:t>
            </w:r>
            <w:r>
              <w:rPr>
                <w:sz w:val="24"/>
                <w:szCs w:val="24"/>
              </w:rPr>
              <w:t xml:space="preserve">а компенсацию затрат городу Оренбургу в связи с осуществлением им функций административного центра Оренбургской области, на осуществление дорожной деятельности, на поддержку реализации мероприятий программ развития муниципальных образований могут быть увел</w:t>
            </w:r>
            <w:r>
              <w:rPr>
                <w:sz w:val="24"/>
                <w:szCs w:val="24"/>
              </w:rPr>
              <w:t xml:space="preserve">ичены (уменьшены) по решению Правительства Оренбургской области с последующим внесением изменений в настоящий Закон.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left="34" w:firstLine="17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67"/>
              <w:ind w:left="63" w:firstLine="171"/>
              <w:jc w:val="both"/>
              <w:tabs>
                <w:tab w:val="left" w:pos="488" w:leader="none"/>
              </w:tabs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Дотации на поддержку мер по обеспечению сбалансированности бюджетов муниципальных образований, в том числе н</w:t>
            </w:r>
            <w:r>
              <w:rPr>
                <w:sz w:val="24"/>
                <w:szCs w:val="24"/>
              </w:rPr>
              <w:t xml:space="preserve">а компенсацию затрат городу Оренбургу в связи с осуществлением им функций административного центра Оренбургской области, на осуществление дорожной деятельности, на поддержку реализации мероприятий программ развития муниципальных образований </w:t>
            </w:r>
            <w:r>
              <w:rPr>
                <w:sz w:val="24"/>
                <w:szCs w:val="24"/>
                <w:highlight w:val="none"/>
              </w:rPr>
              <w:t xml:space="preserve">утверждены Законом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Оренбургской области от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18 декабря 2024 № 1366/584-VII-ОЗ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«Об областном бюджете на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 и на плановый период 2026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и 2027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годов», постановление Правительства 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ренбургской области от 29.07.2025 № 767-пп «О выделении средств» (средства выделены из резервного фонда по чрезвычайным ситуациям Оренбургской области, перераспределены в соответствии с абзацем 5 пункта 3 статьи 217 Бюджетного кодекса Российской Федерации)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Статья 15, часть 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0"/>
              <w:ind w:firstLine="709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 Установить, что: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0"/>
              <w:ind w:firstLine="709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субсидий, распределяемых между муниципальными образованиями на конкурсной основе, не распределенных настоящим Законом, а также субсидий за 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 средств резервного фонда Правительства Оренбургской области, и субсидий, источником финансового обеспечения которых являются межбюджетные трансферты за счет резервных фондов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Президента Российской Федерации и Правительства Российской Федерации, утверждае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тся Правительством Оренбургской области;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0"/>
              <w:ind w:firstLine="709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 в случае внесения изменений в сводную бюджетную роспись областного бюджета, необходимых для реализации государственных программ Оренбургской области, которыми предусматривается предоставление субсидий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ым образованиям, распределение (изменение распределения) таких субсидий осуществляется в соответствии с нормативными правовыми актами Оренбургской области и утверждается Правительством Оренбургской области.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left="34" w:firstLine="171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34" w:firstLine="171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 w:firstLine="171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Распределение субсидий </w:t>
            </w:r>
            <w:r>
              <w:rPr>
                <w:sz w:val="24"/>
                <w:szCs w:val="24"/>
                <w:highlight w:val="none"/>
              </w:rPr>
              <w:t xml:space="preserve">бюджетам </w:t>
            </w:r>
            <w:r>
              <w:rPr>
                <w:sz w:val="24"/>
                <w:szCs w:val="24"/>
                <w:highlight w:val="none"/>
              </w:rPr>
              <w:t xml:space="preserve">муниципальны</w:t>
            </w:r>
            <w:r>
              <w:rPr>
                <w:sz w:val="24"/>
                <w:szCs w:val="24"/>
                <w:highlight w:val="none"/>
              </w:rPr>
              <w:t xml:space="preserve">х</w:t>
            </w:r>
            <w:r>
              <w:rPr>
                <w:sz w:val="24"/>
                <w:szCs w:val="24"/>
                <w:highlight w:val="none"/>
              </w:rPr>
              <w:t xml:space="preserve"> образовани</w:t>
            </w:r>
            <w:r>
              <w:rPr>
                <w:sz w:val="24"/>
                <w:szCs w:val="24"/>
                <w:highlight w:val="none"/>
              </w:rPr>
              <w:t xml:space="preserve">й</w:t>
            </w:r>
            <w:r>
              <w:rPr>
                <w:sz w:val="24"/>
                <w:szCs w:val="24"/>
                <w:highlight w:val="none"/>
              </w:rPr>
              <w:t xml:space="preserve"> из областного бюджета утверждено Законом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Оренбургской области от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18 декабря 2024 № 1366/584-VII-ОЗ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«Об областном бюджете на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 и на плановый период 2026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и 2027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годов», постановлениями Правительства Оренбургской области от 08.12.2025 № 1411-пп, от 24.12.2025 № 1496-пп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Статья 17, часть 3: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72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3. </w:t>
            </w:r>
            <w:r>
              <w:rPr>
                <w:color w:val="000000" w:themeColor="text1"/>
                <w:sz w:val="24"/>
                <w:szCs w:val="24"/>
              </w:rPr>
              <w:t xml:space="preserve">Установить, что в случае выделения (изменения распределения) Оренбургской области средств из федерального бюджета, направляемых в бюджеты муниципальных образований, не предусмотренных настоящим Законом (предусмотренных в объемах, отличающихся от распредел</w:t>
            </w:r>
            <w:r>
              <w:rPr>
                <w:color w:val="000000" w:themeColor="text1"/>
                <w:sz w:val="24"/>
                <w:szCs w:val="24"/>
              </w:rPr>
              <w:t xml:space="preserve">ения на федеральном уровне), распределение (изменение распределения) иных межбюджетных трансфертов бюджетам муниципальных образований, если оно не утверждено правовым актом Российской Федерации, осуществляется в соответствии с нормативными правовыми актами</w:t>
            </w:r>
            <w:r>
              <w:rPr>
                <w:color w:val="000000" w:themeColor="text1"/>
                <w:sz w:val="24"/>
                <w:szCs w:val="24"/>
              </w:rPr>
              <w:t xml:space="preserve"> Российской Федерации и (или) Оренбургской области и утверждается Правительством Оренбургской области.</w:t>
            </w:r>
            <w:r>
              <w:rPr>
                <w:color w:val="000000" w:themeColor="text1"/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jc w:val="both"/>
              <w:tabs>
                <w:tab w:val="left" w:pos="488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jc w:val="both"/>
              <w:tabs>
                <w:tab w:val="left" w:pos="488" w:leader="none"/>
              </w:tabs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none"/>
              </w:rPr>
              <w:t xml:space="preserve">Распределение </w:t>
            </w:r>
            <w:r>
              <w:rPr>
                <w:color w:val="000000" w:themeColor="text1"/>
                <w:sz w:val="24"/>
                <w:szCs w:val="24"/>
              </w:rPr>
              <w:t xml:space="preserve">иных межбюджетных трансфертов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бюджетам </w:t>
            </w:r>
            <w:r>
              <w:rPr>
                <w:sz w:val="24"/>
                <w:szCs w:val="24"/>
                <w:highlight w:val="none"/>
              </w:rPr>
              <w:t xml:space="preserve">муниципальны</w:t>
            </w:r>
            <w:r>
              <w:rPr>
                <w:sz w:val="24"/>
                <w:szCs w:val="24"/>
                <w:highlight w:val="none"/>
              </w:rPr>
              <w:t xml:space="preserve">х</w:t>
            </w:r>
            <w:r>
              <w:rPr>
                <w:sz w:val="24"/>
                <w:szCs w:val="24"/>
                <w:highlight w:val="none"/>
              </w:rPr>
              <w:t xml:space="preserve"> образовани</w:t>
            </w:r>
            <w:r>
              <w:rPr>
                <w:sz w:val="24"/>
                <w:szCs w:val="24"/>
                <w:highlight w:val="none"/>
              </w:rPr>
              <w:t xml:space="preserve">й</w:t>
            </w:r>
            <w:r>
              <w:rPr>
                <w:sz w:val="24"/>
                <w:szCs w:val="24"/>
                <w:highlight w:val="none"/>
              </w:rPr>
              <w:t xml:space="preserve"> из областного бюджета утверждено Законом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Оренбургской области от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18 декабря 2024 № 1366/584-VII-ОЗ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«Об областном бюджете на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 и на плановый период 2026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и 2027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годов»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Статья 18, часть 1: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1. Установить, что в 2025 году главные распорядители средств областного бюджета вправе передавать Управлению Федерального казначей</w:t>
            </w:r>
            <w:r>
              <w:rPr>
                <w:sz w:val="24"/>
                <w:szCs w:val="24"/>
              </w:rPr>
              <w:t xml:space="preserve">ства по Оренбургской области полномочия получателя средств областного бюджета по перечислению межбюджетных трансфертов, предоставляемых из областного бюджета местным бюджетам в форме субсидий, субвенций и иных межбюджетных трансфертов, имеющих целевое назн</w:t>
            </w:r>
            <w:r>
              <w:rPr>
                <w:sz w:val="24"/>
                <w:szCs w:val="24"/>
              </w:rPr>
              <w:t xml:space="preserve">ачение,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в порядке, установленном Федеральным казначейством.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Главными распорядителями средств областного бюджета были приняты правовые акты: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 w:firstLine="313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приказ министерства финансов Оренбургской области от 26 декабря 2024 года № 223 «О передаче в 2025 году министерством финансов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Оренбургской области полномочий получателя средств областного бюджета по перечислению 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»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;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firstLine="313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приказ министерства социального развития Оренбургской области от 14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января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года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№ 10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«О передаче в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году министерством социального развития Оренбургской области полномочий получателя средств областного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бюджета по перечислению межбюджетных трансфертов»;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firstLine="313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приказ министерства сельского хозяйства, торговли, пищевой и перерабатывающей промышленности Оренбургской области от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9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января 2025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года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№ 3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«О передаче министерством сельского хозяйства, торговли, пищевой и перерабатывающей промышленности Оренбургской области полномочий получателя средств областного бюджета по перечислению межбюджетных трансфертов»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(в ред. приказа от 15.09.2025 № 395)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;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 w:firstLine="313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приказ министерства строительства, жилищно-коммунального, дорожного хозяйства и транспорта Оренбургской области от 10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февраля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года № 342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-пр «О передаче в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году министерством строительства, жилищно-коммунального, дорожного хозяйства и транспорта Оренбургской области полномочий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получателя средств областного бюджета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по перечислению ме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жбюджетных трансфертов»;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 w:firstLine="313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приказ департамента Оренбургской области по ценам и регулированию тарифов от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6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февраля 2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года № 01-04/15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«О передаче в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году департаментом Оренбургской области по ценам и регулированию тарифов полномочий получателя средств областного бюджета по перечислению межбюджетных трансфертов»;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 w:firstLine="313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приказ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ми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нистерства образования Оренбургской области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от 16 января 2025 года № 01-21/24 «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передаче на 2025 год  полномочий по перечислению субсидии бюджетам муниципальных образований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источником финансового обеспечения которой являются исключительно средства областного бюджета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»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;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 w:firstLine="313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приказ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министерства образования Оренбургской области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от 16 января 2025 года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№ 01-21/33 «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передаче на 2025 год полномочий по перечислению субсидии бюджетам муниципальных образований на реализацию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ий (быстровозводимых конструкций), а также при проведении капитального ремонта объектов инфраструктуры организаций отдыха детей и их оздоровления, источником финансового обеспечения которых являются исключительно средства областного бюджета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»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;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 w:firstLine="313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приказ министерства образования Оренбургской области от 16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февраля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года № 01-21/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19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«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передаче на 2025 год полномочий по перечислению субсидии бюджетам муниципальных образований на реализацию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а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»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;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 w:firstLine="313"/>
              <w:jc w:val="both"/>
              <w:rPr>
                <w:color w:val="000000"/>
                <w:szCs w:val="28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приказ министерства природных ресурсов, экологии и имущественных отношений Оренбургской 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бласти от 9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января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года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№ 2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«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 передаче в 2025 году министерством природных ресурсов,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экологии и имущественных отношений Оренбургской области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полномочий по перечислению 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»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.</w:t>
            </w:r>
            <w:r>
              <w:rPr>
                <w:color w:val="000000"/>
                <w:szCs w:val="28"/>
                <w:highlight w:val="none"/>
                <w14:ligatures w14:val="none"/>
              </w:rPr>
            </w:r>
            <w:r>
              <w:rPr>
                <w:color w:val="000000"/>
                <w:szCs w:val="28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Статья 18, часть 2: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630"/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2. </w:t>
            </w:r>
            <w:r>
              <w:rPr>
                <w:sz w:val="24"/>
                <w:szCs w:val="24"/>
              </w:rPr>
              <w:t xml:space="preserve">Установить, что перечень межбюджетных трансфертов из областного бюджета местным бюджетам в форме субсидий, субвенций и иных межбюджетных трансфертов, имеющих целевое назначение, по которым главным распорядителям средств областного бюджета предоставлено</w:t>
            </w:r>
            <w:r>
              <w:rPr>
                <w:sz w:val="24"/>
                <w:szCs w:val="24"/>
              </w:rPr>
              <w:t xml:space="preserve">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трансфертов, предоставляемых из областного бюджета местным бюджетам в форме субсидий, субвенций и и</w:t>
            </w:r>
            <w:r>
              <w:rPr>
                <w:sz w:val="24"/>
                <w:szCs w:val="24"/>
              </w:rPr>
              <w:t xml:space="preserve">н</w:t>
            </w:r>
            <w:r>
              <w:rPr>
                <w:sz w:val="24"/>
                <w:szCs w:val="24"/>
              </w:rPr>
              <w:t xml:space="preserve">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ус</w:t>
            </w:r>
            <w:r>
              <w:rPr>
                <w:sz w:val="24"/>
                <w:szCs w:val="24"/>
              </w:rPr>
              <w:t xml:space="preserve">танавливается министерством финансов Оренбургской области.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  <w:p>
            <w:pPr>
              <w:ind w:left="34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Перечень утвержден приказом министерства финансов Оренбургской области от 24 декабря 2024 года № 217 «</w:t>
            </w:r>
            <w:r>
              <w:rPr>
                <w:bCs/>
                <w:sz w:val="24"/>
                <w:szCs w:val="24"/>
              </w:rPr>
              <w:t xml:space="preserve">О</w:t>
            </w:r>
            <w:r>
              <w:rPr>
                <w:bCs/>
                <w:sz w:val="24"/>
                <w:szCs w:val="24"/>
              </w:rPr>
              <w:t xml:space="preserve">б </w:t>
            </w:r>
            <w:r>
              <w:rPr>
                <w:bCs/>
                <w:sz w:val="24"/>
                <w:szCs w:val="24"/>
              </w:rPr>
              <w:t xml:space="preserve">утверждении перечня</w:t>
            </w:r>
            <w:r>
              <w:rPr>
                <w:bCs/>
                <w:sz w:val="24"/>
                <w:szCs w:val="24"/>
              </w:rPr>
              <w:t xml:space="preserve"> межбюджетных трансфертов из областного бюджета местным бюджетам в форме субсидий, субвенц</w:t>
            </w:r>
            <w:r>
              <w:rPr>
                <w:bCs/>
                <w:sz w:val="24"/>
                <w:szCs w:val="24"/>
              </w:rPr>
              <w:t xml:space="preserve">ий и иных межбюджетных трансфер</w:t>
            </w:r>
            <w:r>
              <w:rPr>
                <w:bCs/>
                <w:sz w:val="24"/>
                <w:szCs w:val="24"/>
              </w:rPr>
              <w:t xml:space="preserve">тов, имеющих целевое назначение, по которым главным распорядителям средств областного бюджета предоставлено право передавать Управлению Федерального казначейства по Оренб</w:t>
            </w:r>
            <w:r>
              <w:rPr>
                <w:bCs/>
                <w:sz w:val="24"/>
                <w:szCs w:val="24"/>
              </w:rPr>
              <w:t xml:space="preserve">ургской области полномочия полу</w:t>
            </w:r>
            <w:r>
              <w:rPr>
                <w:bCs/>
                <w:sz w:val="24"/>
                <w:szCs w:val="24"/>
              </w:rPr>
              <w:t xml:space="preserve">чателя средств областного бюджета по перечислению межбюджетных трансфертов, предоставляемых из областного бюджета местным бюджетам в форме субсидий, субвенций и иных межбюджетных т</w:t>
            </w:r>
            <w:r>
              <w:rPr>
                <w:bCs/>
                <w:sz w:val="24"/>
                <w:szCs w:val="24"/>
              </w:rPr>
              <w:t xml:space="preserve">рансфертов, имею</w:t>
            </w:r>
            <w:r>
              <w:rPr>
                <w:bCs/>
                <w:sz w:val="24"/>
                <w:szCs w:val="24"/>
              </w:rPr>
              <w:t xml:space="preserve">щих целевое назначение, в пределах с</w:t>
            </w:r>
            <w:r>
              <w:rPr>
                <w:bCs/>
                <w:sz w:val="24"/>
                <w:szCs w:val="24"/>
              </w:rPr>
              <w:t xml:space="preserve">уммы, необходимой для оплаты де</w:t>
            </w:r>
            <w:r>
              <w:rPr>
                <w:bCs/>
                <w:sz w:val="24"/>
                <w:szCs w:val="24"/>
              </w:rPr>
              <w:t xml:space="preserve">нежных обязательств по расходам получателей средств местного бюджета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Статья 20, части </w:t>
            </w: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  <w:t xml:space="preserve">–</w:t>
            </w: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  <w:t xml:space="preserve">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  <w:outlineLvl w:val="1"/>
            </w:pP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2. Установить, что дополнительно к распределенным согласно приложению 18 к настоящему Закону субсидиям в случае внесения изменений в сводную бюджетную роспись могут бы</w:t>
            </w:r>
            <w:r>
              <w:rPr>
                <w:color w:val="000000"/>
                <w:sz w:val="24"/>
                <w:szCs w:val="24"/>
              </w:rPr>
              <w:t xml:space="preserve">ть предоставлены субсидии юридическим лицам (за исключением субсидий государственным учреждениям), индивидуальным предпринимателям, физическим лицам – производителям товаров, работ, услуг, некоммерческим организациям (за исключением государственных учрежде</w:t>
            </w:r>
            <w:r>
              <w:rPr>
                <w:color w:val="000000"/>
                <w:sz w:val="24"/>
                <w:szCs w:val="24"/>
              </w:rPr>
              <w:t xml:space="preserve">ний):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  <w:outlineLvl w:val="1"/>
            </w:pPr>
            <w:r>
              <w:rPr>
                <w:color w:val="000000"/>
                <w:sz w:val="24"/>
                <w:szCs w:val="24"/>
              </w:rPr>
              <w:t xml:space="preserve"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за счет межбюджетных трансфертов из федерального бюджета, остатков средств межбюджетных тран</w:t>
            </w:r>
            <w:r>
              <w:rPr>
                <w:sz w:val="24"/>
                <w:szCs w:val="24"/>
              </w:rPr>
              <w:t xml:space="preserve">сфертов из федерального бюджета, безвозмездных поступлений от физических и юридических лиц, имеющих целевое назначение</w:t>
            </w:r>
            <w:r>
              <w:rPr>
                <w:color w:val="000000"/>
                <w:sz w:val="24"/>
                <w:szCs w:val="24"/>
              </w:rPr>
              <w:t xml:space="preserve">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за счет бюджетных кредитов из федерального бюджета, остатков бюджетных кредитов, полученных из федерального бюджета</w:t>
            </w:r>
            <w:r>
              <w:rPr>
                <w:color w:val="000000"/>
                <w:sz w:val="24"/>
                <w:szCs w:val="24"/>
              </w:rPr>
              <w:t xml:space="preserve">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согласно условиям и</w:t>
            </w:r>
            <w:r>
              <w:rPr>
                <w:sz w:val="24"/>
                <w:szCs w:val="24"/>
              </w:rPr>
              <w:t xml:space="preserve"> срокам, предусмотренным концессионными соглашениями, заключенными в соответствии с законодательством Российской Федерации о концессионных соглашениях</w:t>
            </w:r>
            <w:r>
              <w:rPr>
                <w:color w:val="000000"/>
                <w:sz w:val="24"/>
                <w:szCs w:val="24"/>
              </w:rPr>
              <w:t xml:space="preserve">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  <w:outlineLvl w:val="1"/>
            </w:pPr>
            <w:r>
              <w:rPr>
                <w:color w:val="000000"/>
                <w:sz w:val="24"/>
                <w:szCs w:val="24"/>
              </w:rPr>
              <w:t xml:space="preserve">на оказание на безвозвратной основе за счет средств областного бюджета дополнительной помощи при возникн</w:t>
            </w:r>
            <w:r>
              <w:rPr>
                <w:color w:val="000000"/>
                <w:sz w:val="24"/>
                <w:szCs w:val="24"/>
              </w:rPr>
              <w:t xml:space="preserve">овении неотложной необходимости в проведении капитального ремонта общего имущества в многоквартирных домах, расположенных на территории Оренбургской области;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за счет средств, выделенных из резервного фонда Правительства Оренбургской области, резервного фон</w:t>
            </w:r>
            <w:r>
              <w:rPr>
                <w:sz w:val="24"/>
                <w:szCs w:val="24"/>
              </w:rPr>
              <w:t xml:space="preserve">да по чрезвычайным ситуациям Оренбургской области, бюджетных ассигнований на обеспечение мероприятий по стабилизации финансовой ситуации в Оренбургской области, </w:t>
            </w:r>
            <w:r>
              <w:rPr>
                <w:bCs/>
                <w:sz w:val="24"/>
                <w:szCs w:val="24"/>
                <w:lang w:eastAsia="en-US"/>
              </w:rPr>
              <w:t xml:space="preserve">поддержку реализации мероприятий государственных программ Оренбургской области и непрограммных </w:t>
            </w:r>
            <w:r>
              <w:rPr>
                <w:bCs/>
                <w:sz w:val="24"/>
                <w:szCs w:val="24"/>
                <w:lang w:eastAsia="en-US"/>
              </w:rPr>
              <w:t xml:space="preserve">мероприятий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на оказание государственной поддержки региональным спортивным федерациям на организацию и проведение официальных физкультурных и спортивных соревнований;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на оплату соглашений на возмещение затрат, связанных с реализацией дополнительных образов</w:t>
            </w:r>
            <w:r>
              <w:rPr>
                <w:sz w:val="24"/>
                <w:szCs w:val="24"/>
              </w:rPr>
              <w:t xml:space="preserve">ательных программ (за исключением дополнительных предпрофессиональных программ в области искусств) на территории Оренбургской области в соответствии с социальным сертификатом;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strike/>
                <w:sz w:val="24"/>
                <w:szCs w:val="24"/>
              </w:rPr>
              <w:outlineLvl w:val="1"/>
            </w:pPr>
            <w:r>
              <w:rPr>
                <w:color w:val="000000"/>
                <w:sz w:val="24"/>
                <w:szCs w:val="24"/>
              </w:rPr>
              <w:t xml:space="preserve">за счет средств, высвобождаемых в результате списания задолженности Оренбургской</w:t>
            </w:r>
            <w:r>
              <w:rPr>
                <w:color w:val="000000"/>
                <w:sz w:val="24"/>
                <w:szCs w:val="24"/>
              </w:rPr>
              <w:t xml:space="preserve"> области перед Российской Федерацией по бюджетным кредитам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trike/>
                <w:sz w:val="24"/>
                <w:szCs w:val="24"/>
              </w:rPr>
            </w:r>
            <w:r>
              <w:rPr>
                <w:strike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</w:rPr>
              <w:t xml:space="preserve">Установить, что в 2025 году казначейскому сопровождению подлежат: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1) субсидии, предоставляемые юридическим лицам (за исключением субсидий государственным учреждениям), индивидуальным предприни</w:t>
            </w:r>
            <w:r>
              <w:rPr>
                <w:color w:val="000000"/>
                <w:sz w:val="24"/>
                <w:szCs w:val="24"/>
              </w:rPr>
              <w:t xml:space="preserve">мателям, физическим лицам – производителям товаров, работ, услуг, некоммерческим организациям (за исключением государственных учреждений) на финансовое обеспечение затрат в связи с производством (реализацией) товаров, выполнением работ, оказанием услуг в с</w:t>
            </w:r>
            <w:r>
              <w:rPr>
                <w:color w:val="000000"/>
                <w:sz w:val="24"/>
                <w:szCs w:val="24"/>
              </w:rPr>
              <w:t xml:space="preserve">лучаях, установленных в порядках предоставления таких субсидий;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2) субсидии юридическим лицам, 100 процентов акций (долей) которых принадлежит Оренбургской области, на осуществление капитальных вложений в объекты капитального строительства, находящиеся в с</w:t>
            </w:r>
            <w:r>
              <w:rPr>
                <w:color w:val="000000"/>
                <w:sz w:val="24"/>
                <w:szCs w:val="24"/>
              </w:rPr>
              <w:t xml:space="preserve">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Федерации, предоставляемые в соответствии с </w:t>
            </w:r>
            <w:r>
              <w:rPr>
                <w:color w:val="000000"/>
                <w:sz w:val="24"/>
                <w:szCs w:val="24"/>
              </w:rPr>
              <w:t xml:space="preserve">пунктом 8 статьи 78 Бюджетного кодекса Российской Федерации;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3) авансовые платежи и расчеты по контрактам (договорам) о поставке товаров, выполнении работ, об оказании услуг, заключаемым получателями субсидий, указанных в пункте 2 настоящей части, с исполн</w:t>
            </w:r>
            <w:r>
              <w:rPr>
                <w:color w:val="000000"/>
                <w:sz w:val="24"/>
                <w:szCs w:val="24"/>
              </w:rPr>
              <w:t xml:space="preserve">ителями по контрактам (договорам), источником финансового обеспечения которых являются такие субсидии;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  <w:outlineLvl w:val="1"/>
            </w:pPr>
            <w:r>
              <w:rPr>
                <w:color w:val="000000"/>
                <w:sz w:val="24"/>
                <w:szCs w:val="24"/>
              </w:rPr>
              <w:t xml:space="preserve">4) авансовые платежи и расчеты по контрактам (договорам) о поставке товаров, выполнении работ, об оказании услуг, заключаемым исполнителями и соисполните</w:t>
            </w:r>
            <w:r>
              <w:rPr>
                <w:color w:val="000000"/>
                <w:sz w:val="24"/>
                <w:szCs w:val="24"/>
              </w:rPr>
              <w:t xml:space="preserve">лями в рамках исполнения указанных в пункте 3 настоящей части контрактов (договоров);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  <w:highlight w:val="none"/>
              </w:rPr>
              <w:outlineLvl w:val="1"/>
            </w:pPr>
            <w:r>
              <w:rPr>
                <w:color w:val="000000"/>
                <w:sz w:val="24"/>
                <w:szCs w:val="24"/>
              </w:rPr>
              <w:t xml:space="preserve">5) расчеты по государственным контрактам о поставке товаров, выполнении работ, об </w:t>
            </w:r>
            <w:r>
              <w:rPr>
                <w:color w:val="000000"/>
                <w:sz w:val="24"/>
                <w:szCs w:val="24"/>
              </w:rPr>
              <w:t xml:space="preserve">оказании услуг, заключаемым на сумму 100 000,0 тыс. рублей и более для обеспечения государственных нужд Оренбургской области,  расчеты по контрактам (договорам) о поставке товаров, выполнении работ, об оказании услуг, заключаемым на сумму 100 000,0 тыс. ру</w:t>
            </w:r>
            <w:r>
              <w:rPr>
                <w:color w:val="000000"/>
                <w:sz w:val="24"/>
                <w:szCs w:val="24"/>
              </w:rPr>
              <w:t xml:space="preserve">блей и более бюджетными и автономными учреждениями Оренбургской области, а также расчеты по контрактам (договорам) о поставке товаров, выполнении работ, об оказании услуг, заключаемым на сумму более 3 000,0 </w:t>
            </w:r>
            <w:r>
              <w:rPr>
                <w:color w:val="000000"/>
                <w:sz w:val="24"/>
                <w:szCs w:val="24"/>
              </w:rPr>
              <w:t xml:space="preserve">тыс. рублей исполнителями и соисполнителями в рам</w:t>
            </w:r>
            <w:r>
              <w:rPr>
                <w:color w:val="000000"/>
                <w:sz w:val="24"/>
                <w:szCs w:val="24"/>
              </w:rPr>
              <w:t xml:space="preserve">ках исполнения указанных государственных контрактов (контрактов, договоров) о поставке товаров, выполнении работ, об оказании услуг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  <w:outlineLvl w:val="1"/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Распределение субсидий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юридическим лицам (за исключением субсидий государственным учреждениям), индивидуальным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предпринимателям, физическим лицам – производителям товаров, работ, услуг, некоммерческим организациям (за исключением государственных учреждений)</w:t>
            </w:r>
            <w:r>
              <w:rPr>
                <w:sz w:val="24"/>
                <w:szCs w:val="24"/>
                <w:highlight w:val="none"/>
              </w:rPr>
              <w:t xml:space="preserve"> утверждено Законом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Оренбургской области от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18 декабря 2024 № 1366/584-VII-ОЗ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«Об областном бюджете на 2025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 и на плановый период 2026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и 2027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годов», постановление Правительства Оренбургской области от 04.02.2025 № 73-пп «О выделении средств» (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средства выделены из резервного фонда Правительства Оренбургской области, перераспределены в соответствии с абзацем 5 пункта 3 статьи 217 Бюджетного кодекса Российской Федерации)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Казначейское сопровождение договоров (соглашений) о предоставлении из областного бюджета субсидий осуществлялось в случаях, предусмотренных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порядками предоставления субсидий</w:t>
            </w:r>
            <w:bookmarkStart w:id="0" w:name="_GoBack"/>
            <w:r>
              <w:rPr>
                <w:sz w:val="24"/>
                <w:szCs w:val="24"/>
                <w:highlight w:val="none"/>
              </w:rPr>
            </w:r>
            <w:bookmarkEnd w:id="0"/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pStyle w:val="973"/>
              <w:ind w:firstLine="0"/>
              <w:keepNext/>
              <w:rPr>
                <w:b/>
                <w:sz w:val="24"/>
                <w:szCs w:val="24"/>
                <w:highlight w:val="none"/>
                <w:vertAlign w:val="superscript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Статья 21</w:t>
            </w:r>
            <w:r>
              <w:rPr>
                <w:b w:val="0"/>
                <w:bCs w:val="0"/>
                <w:sz w:val="24"/>
                <w:szCs w:val="24"/>
                <w:highlight w:val="none"/>
                <w:vertAlign w:val="superscript"/>
              </w:rPr>
              <w:t xml:space="preserve">1</w:t>
            </w:r>
            <w:r>
              <w:rPr>
                <w:b/>
                <w:sz w:val="24"/>
                <w:szCs w:val="24"/>
                <w:highlight w:val="none"/>
                <w:vertAlign w:val="superscript"/>
              </w:rPr>
            </w:r>
            <w:r>
              <w:rPr>
                <w:b/>
                <w:sz w:val="24"/>
                <w:szCs w:val="24"/>
                <w:highlight w:val="none"/>
                <w:vertAlign w:val="superscript"/>
              </w:rPr>
            </w:r>
          </w:p>
          <w:p>
            <w:pPr>
              <w:ind w:firstLine="772"/>
              <w:jc w:val="both"/>
              <w:rPr>
                <w:color w:val="000000"/>
                <w:sz w:val="24"/>
                <w:szCs w:val="24"/>
                <w:highlight w:val="yellow"/>
              </w:rPr>
              <w:outlineLvl w:val="1"/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1. Установить, что задолженность юридических лиц по денежным обязательствам перед Оренбургской областью подлежит списанию с учета в 2025 году в связи с их ликвидацией (за исключением случаев, когда законом или иными правовыми актами Российском Федерац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ии исполнение обязательства должника возложено на другое лицо), прекращением производства по делу о банкротстве юридического лица в случае отсутствия средств, достаточных для возмещения судебных расходов на проведение процедур, применяемых в деле о банкрот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стве, в том числе расходов на выплату вознаграждения арбитражному управляющему, исключением из единого государственного реестра юридических лиц в порядке, предусмотренном законодательством Российском Федерации о государственной регистрации юридических лиц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В</w:t>
            </w:r>
            <w:r>
              <w:rPr>
                <w:sz w:val="24"/>
                <w:szCs w:val="24"/>
                <w:highlight w:val="none"/>
              </w:rPr>
              <w:t xml:space="preserve"> соответствии с Приказом министерства финансов Оренбургской области от 30.12.2025 № 222 «О списании и восстановлении в учете задолженности по денежным обязательствам перед Оренбургской областью» осуществлено списание с учета задолженности</w:t>
            </w:r>
            <w:r>
              <w:rPr>
                <w:sz w:val="24"/>
                <w:szCs w:val="24"/>
                <w:highlight w:val="none"/>
              </w:rPr>
              <w:t xml:space="preserve"> ЗАО «Объединенная вагонная компания» (ИНН 7701726837, ОГРН 5077746884420, КПП 770901001) в сумме задолженности 96 942 521 (девяносто шесть миллионов девятьсот сорок две тысячи пятьсот двадцать один) рубль 69 копеек, в связи с </w:t>
            </w:r>
            <w:r>
              <w:rPr>
                <w:sz w:val="24"/>
                <w:szCs w:val="24"/>
                <w:highlight w:val="none"/>
              </w:rPr>
              <w:t xml:space="preserve">исключением должника из Единого государственного реестра юридических лиц в порядке, предусмотренном законодательством Российской Федерации о государственной регистрации юридических лиц.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В</w:t>
            </w:r>
            <w:r>
              <w:rPr>
                <w:sz w:val="24"/>
                <w:szCs w:val="24"/>
                <w:highlight w:val="none"/>
              </w:rPr>
              <w:t xml:space="preserve"> соответствии с Приказом министерства финансов Оренбургской области от 30.12.2025 № 223 «О списании и восстановлении в учете задолженности по денежным обязательствам перед Оренбургской областью» осуществлено списание с учета задолженности</w:t>
            </w:r>
            <w:r>
              <w:rPr>
                <w:sz w:val="24"/>
                <w:szCs w:val="24"/>
                <w:highlight w:val="none"/>
              </w:rPr>
              <w:t xml:space="preserve"> Колхоз «Мирный»  (ИНН 5624002865, ОГРН 1035612600143, КПП 562401001) в сумме задолженности 2 680 124 (два миллиона шестьсот восемьдесят тысяч сто двадцать четыре) рубля 89 копеек, в связи с </w:t>
            </w:r>
            <w:r>
              <w:rPr>
                <w:sz w:val="24"/>
                <w:szCs w:val="24"/>
                <w:highlight w:val="none"/>
              </w:rPr>
              <w:t xml:space="preserve">ликвидацией должника, имеющего задолженность, в порядке, предусмотренном законодательством Российской Федерации</w:t>
            </w:r>
            <w:r>
              <w:rPr>
                <w:sz w:val="24"/>
                <w:szCs w:val="24"/>
                <w:highlight w:val="none"/>
              </w:rPr>
              <w:t xml:space="preserve">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Статья 22</w:t>
            </w:r>
            <w:r>
              <w:rPr>
                <w:bCs/>
                <w:sz w:val="24"/>
                <w:szCs w:val="24"/>
              </w:rPr>
              <w:t xml:space="preserve">, пункты </w:t>
            </w:r>
            <w:r>
              <w:rPr>
                <w:bCs/>
                <w:sz w:val="24"/>
                <w:szCs w:val="24"/>
              </w:rPr>
              <w:t xml:space="preserve">1–2</w:t>
            </w:r>
            <w:r>
              <w:rPr>
                <w:bCs/>
                <w:sz w:val="24"/>
                <w:szCs w:val="24"/>
              </w:rPr>
              <w:t xml:space="preserve">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7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Установить, что: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73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1</w:t>
            </w:r>
            <w:r>
              <w:rPr>
                <w:spacing w:val="-4"/>
                <w:sz w:val="24"/>
                <w:szCs w:val="24"/>
              </w:rPr>
              <w:t xml:space="preserve">1) бюджетные кредиты бюджетам муниципальных округов, городских округов, муниципальных </w:t>
            </w:r>
            <w:r>
              <w:rPr>
                <w:spacing w:val="-4"/>
                <w:sz w:val="24"/>
                <w:szCs w:val="24"/>
              </w:rPr>
              <w:t xml:space="preserve">районов для покрытия временных кассовых разрывов, возникающих при исполнении бюджетов данных муниципальных образований, предоставляются из областного бюджета на срок, не выходящий за пределы финансового года, и в пределах бюджетных ассигнований, предусмотр</w:t>
            </w:r>
            <w:r>
              <w:rPr>
                <w:spacing w:val="-4"/>
                <w:sz w:val="24"/>
                <w:szCs w:val="24"/>
              </w:rPr>
              <w:t xml:space="preserve">енных на эти цели по источникам финансирования дефицита областного бюджета, в 2025 году </w:t>
            </w:r>
            <w:r>
              <w:rPr>
                <w:color w:val="000000"/>
                <w:sz w:val="24"/>
                <w:szCs w:val="24"/>
              </w:rPr>
              <w:t xml:space="preserve">–</w:t>
            </w:r>
            <w:r>
              <w:rPr>
                <w:spacing w:val="-4"/>
                <w:sz w:val="24"/>
                <w:szCs w:val="24"/>
              </w:rPr>
              <w:t xml:space="preserve"> в объеме не более </w:t>
            </w:r>
            <w:r>
              <w:rPr>
                <w:sz w:val="24"/>
                <w:szCs w:val="24"/>
              </w:rPr>
              <w:t xml:space="preserve">100 000,0</w:t>
            </w:r>
            <w:r>
              <w:rPr>
                <w:spacing w:val="-4"/>
                <w:sz w:val="24"/>
                <w:szCs w:val="24"/>
              </w:rPr>
              <w:t xml:space="preserve">тыс. рублей, в 2026 году – в объеме не более </w:t>
            </w:r>
            <w:r>
              <w:rPr>
                <w:sz w:val="24"/>
                <w:szCs w:val="24"/>
              </w:rPr>
              <w:t xml:space="preserve">100 000,0</w:t>
            </w:r>
            <w:r>
              <w:rPr>
                <w:spacing w:val="-4"/>
                <w:sz w:val="24"/>
                <w:szCs w:val="24"/>
              </w:rPr>
              <w:t xml:space="preserve">тыс. рублей, в 2027 году – в объеме не более </w:t>
            </w:r>
            <w:r>
              <w:rPr>
                <w:sz w:val="24"/>
                <w:szCs w:val="24"/>
              </w:rPr>
              <w:t xml:space="preserve">100 000,0</w:t>
            </w:r>
            <w:r>
              <w:rPr>
                <w:spacing w:val="-4"/>
                <w:sz w:val="24"/>
                <w:szCs w:val="24"/>
              </w:rPr>
              <w:t xml:space="preserve">тыс. рублей;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94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2</w:t>
            </w:r>
            <w:r>
              <w:rPr>
                <w:spacing w:val="-4"/>
                <w:sz w:val="24"/>
                <w:szCs w:val="24"/>
              </w:rPr>
              <w:t xml:space="preserve">) бюджетные кредиты бюджетам муниципальных округов, городских округов, муниципальных районов для частичного покрытия дефицитов бюджетов данных муниципальных образований предоставляются из областного бюджета на срок до пяти лет в пределах бюджетных ассигнов</w:t>
            </w:r>
            <w:r>
              <w:rPr>
                <w:spacing w:val="-4"/>
                <w:sz w:val="24"/>
                <w:szCs w:val="24"/>
              </w:rPr>
              <w:t xml:space="preserve">аний, предусмотренных на эти цели по источникам финансирования дефицита областного бюджета, в 2025 году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pacing w:val="-4"/>
                <w:sz w:val="24"/>
                <w:szCs w:val="24"/>
              </w:rPr>
              <w:t xml:space="preserve"> в объеме не более </w:t>
            </w:r>
            <w:r>
              <w:rPr>
                <w:sz w:val="24"/>
                <w:szCs w:val="24"/>
              </w:rPr>
              <w:t xml:space="preserve">100 000,0</w:t>
            </w:r>
            <w:r>
              <w:rPr>
                <w:spacing w:val="-4"/>
                <w:sz w:val="24"/>
                <w:szCs w:val="24"/>
              </w:rPr>
              <w:t xml:space="preserve">тыс. рублей;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  <w:p>
            <w:pPr>
              <w:ind w:left="34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Бюджетные кредиты бюджетам муниципальных округов, городских округов и муниципальных районов для покрытия временных кассовых разрывов, возникающих при исполнении местных бюджетов, в 2025 году не представлялись.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2025 году муниципальным образованиям предоставлены из областного бюджета бюджетные кредиты для частичного покрытия дефицита бюджета под 0,1% годовых: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Саракташскому району в объеме 8 000,0 тыс. рублей (соглашение от 11.04.2025 года № 1);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Тюльганскому району – 3 400,0 тыс. рублей (соглашение от 22.09.2025 № 2)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Обращения о предоставлении бюджетных кредитов для покрытия временных кассовых разрывов, возникающих при исполнении местных бюджетов</w:t>
            </w:r>
            <w:r>
              <w:rPr>
                <w:sz w:val="24"/>
                <w:szCs w:val="24"/>
                <w:highlight w:val="none"/>
              </w:rPr>
              <w:t xml:space="preserve">,</w:t>
            </w:r>
            <w:r>
              <w:rPr>
                <w:sz w:val="24"/>
                <w:szCs w:val="24"/>
                <w:highlight w:val="none"/>
              </w:rPr>
              <w:t xml:space="preserve"> от </w:t>
            </w:r>
            <w:r>
              <w:rPr>
                <w:sz w:val="24"/>
                <w:szCs w:val="24"/>
                <w:highlight w:val="none"/>
              </w:rPr>
              <w:t xml:space="preserve">муниципальных образований в отчетном периоде не поступали.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Статья 23, часть 3: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jc w:val="both"/>
              <w:rPr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«</w:t>
            </w:r>
            <w:r>
              <w:rPr>
                <w:color w:val="000000" w:themeColor="text1"/>
                <w:sz w:val="24"/>
                <w:szCs w:val="24"/>
              </w:rPr>
              <w:t xml:space="preserve">Установить, что министерство финансов Оренбургской области является уполномоченным</w:t>
            </w:r>
            <w:r>
              <w:rPr>
                <w:color w:val="000000" w:themeColor="text1"/>
                <w:sz w:val="24"/>
                <w:szCs w:val="24"/>
              </w:rPr>
              <w:t xml:space="preserve"> органом Оренбургской области по привлечению от имени Оренбургской области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бюджетных кредитов за счет средств федерального бюджета на пополнение остатков средств на едином счете бюджета, а также бюджетных кредитов из других бюджетов бюджетной системы Росси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йской Федерации в валюте Российской Федерации</w:t>
            </w:r>
            <w:r>
              <w:rPr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630"/>
              <w:jc w:val="both"/>
              <w:tabs>
                <w:tab w:val="left" w:pos="1073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Предельный объем заимствований Оренбургской области, которые Оренбургская область вправе осуществлять в течение финансового года, ограничить в 2025 году суммой не более 36 980 751,6 тыс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рублей, в 2026 году – не более 23 013 494,3 тыс. рублей, в 2027 году – не более 28 298 091,0 тыс. рублей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left="34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В 2025 году привлечен из федерального бюджета бюджетный кредит на финансовое обеспечение реализации инфраструктурных проектов </w:t>
            </w:r>
            <w:r>
              <w:rPr>
                <w:sz w:val="24"/>
                <w:szCs w:val="24"/>
                <w:highlight w:val="none"/>
              </w:rPr>
              <w:t xml:space="preserve">в размере 2 280 751,6 тыс. рублей под 3,0% годовых, со сроком погашения 05.12.2040 (соглашение от 04.12.2025 № 2025-00329/2).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34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Статья 2</w:t>
            </w:r>
            <w:r>
              <w:rPr>
                <w:bCs/>
                <w:sz w:val="23"/>
                <w:szCs w:val="23"/>
              </w:rPr>
              <w:t xml:space="preserve">5</w:t>
            </w:r>
            <w:r>
              <w:rPr>
                <w:bCs/>
                <w:sz w:val="23"/>
                <w:szCs w:val="23"/>
              </w:rPr>
              <w:t xml:space="preserve">: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  <w:p>
            <w:pPr>
              <w:ind w:firstLine="709"/>
              <w:jc w:val="both"/>
              <w:rPr>
                <w:bCs/>
                <w:sz w:val="23"/>
                <w:szCs w:val="23"/>
                <w:highlight w:val="yellow"/>
              </w:rPr>
              <w:outlineLvl w:val="1"/>
            </w:pPr>
            <w:r>
              <w:rPr>
                <w:bCs/>
                <w:sz w:val="23"/>
                <w:szCs w:val="23"/>
              </w:rPr>
              <w:t xml:space="preserve">«</w:t>
            </w:r>
            <w:r>
              <w:rPr>
                <w:sz w:val="23"/>
                <w:szCs w:val="23"/>
              </w:rPr>
              <w:t xml:space="preserve">Установить, что размеры окладов денежного содержания по должностям государственной гражданской службы Оренбургской области, размер должностного оклада министра Оренбургской области индексируются на 8,3 процента с 1 января 2025 года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  <w:t xml:space="preserve">»</w:t>
            </w:r>
            <w:r>
              <w:rPr>
                <w:bCs/>
                <w:sz w:val="23"/>
                <w:szCs w:val="23"/>
                <w:highlight w:val="yellow"/>
              </w:rPr>
            </w:r>
            <w:r>
              <w:rPr>
                <w:bCs/>
                <w:sz w:val="23"/>
                <w:szCs w:val="23"/>
                <w:highlight w:val="yellow"/>
              </w:rPr>
            </w:r>
          </w:p>
        </w:tc>
        <w:tc>
          <w:tcPr>
            <w:shd w:val="clear" w:color="auto" w:fill="auto"/>
            <w:tcW w:w="5953" w:type="dxa"/>
            <w:textDirection w:val="lrTb"/>
            <w:noWrap w:val="false"/>
          </w:tcPr>
          <w:p>
            <w:pPr>
              <w:ind w:left="34"/>
              <w:jc w:val="both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ind w:left="34"/>
              <w:jc w:val="both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Индексация размеров окладов денежного содержания по должностям государственной </w:t>
            </w:r>
            <w:r>
              <w:rPr>
                <w:sz w:val="23"/>
                <w:szCs w:val="23"/>
                <w:highlight w:val="none"/>
              </w:rPr>
              <w:t xml:space="preserve">гражданской </w:t>
            </w:r>
            <w:r>
              <w:rPr>
                <w:sz w:val="23"/>
                <w:szCs w:val="23"/>
                <w:highlight w:val="none"/>
              </w:rPr>
              <w:t xml:space="preserve">службы Оренбургской области в 202</w:t>
            </w:r>
            <w:r>
              <w:rPr>
                <w:sz w:val="23"/>
                <w:szCs w:val="23"/>
                <w:highlight w:val="none"/>
              </w:rPr>
              <w:t xml:space="preserve">5 </w:t>
            </w:r>
            <w:r>
              <w:rPr>
                <w:sz w:val="23"/>
                <w:szCs w:val="23"/>
                <w:highlight w:val="none"/>
              </w:rPr>
              <w:t xml:space="preserve">году произв</w:t>
            </w:r>
            <w:r>
              <w:rPr>
                <w:sz w:val="23"/>
                <w:szCs w:val="23"/>
                <w:highlight w:val="none"/>
              </w:rPr>
              <w:t xml:space="preserve">едена в соответствии с указом Губернатора Оренбургской области от 18</w:t>
            </w:r>
            <w:r>
              <w:rPr>
                <w:sz w:val="23"/>
                <w:szCs w:val="23"/>
                <w:highlight w:val="none"/>
              </w:rPr>
              <w:t xml:space="preserve"> </w:t>
            </w:r>
            <w:r>
              <w:rPr>
                <w:sz w:val="23"/>
                <w:szCs w:val="23"/>
                <w:highlight w:val="none"/>
              </w:rPr>
              <w:t xml:space="preserve">декабря</w:t>
            </w:r>
            <w:r>
              <w:rPr>
                <w:sz w:val="23"/>
                <w:szCs w:val="23"/>
                <w:highlight w:val="none"/>
              </w:rPr>
              <w:t xml:space="preserve"> 2</w:t>
            </w:r>
            <w:r>
              <w:rPr>
                <w:sz w:val="23"/>
                <w:szCs w:val="23"/>
                <w:highlight w:val="none"/>
              </w:rPr>
              <w:t xml:space="preserve">024</w:t>
            </w:r>
            <w:r>
              <w:rPr>
                <w:sz w:val="23"/>
                <w:szCs w:val="23"/>
                <w:highlight w:val="none"/>
              </w:rPr>
              <w:t xml:space="preserve"> года</w:t>
            </w:r>
            <w:r>
              <w:rPr>
                <w:sz w:val="23"/>
                <w:szCs w:val="23"/>
                <w:highlight w:val="none"/>
              </w:rPr>
              <w:t xml:space="preserve"> № 645</w:t>
            </w:r>
            <w:r>
              <w:rPr>
                <w:sz w:val="23"/>
                <w:szCs w:val="23"/>
                <w:highlight w:val="none"/>
              </w:rPr>
              <w:t xml:space="preserve">-ук «Об индексации»</w:t>
            </w:r>
            <w:r>
              <w:rPr>
                <w:sz w:val="23"/>
                <w:szCs w:val="23"/>
                <w:highlight w:val="none"/>
              </w:rPr>
              <w:t xml:space="preserve">. 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ind w:left="34"/>
              <w:jc w:val="both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Индексация размера </w:t>
            </w:r>
            <w:r>
              <w:rPr>
                <w:color w:val="000000"/>
                <w:sz w:val="23"/>
                <w:szCs w:val="23"/>
                <w:highlight w:val="none"/>
                <w:lang w:bidi="ru-RU"/>
              </w:rPr>
              <w:t xml:space="preserve">должностного оклада министра Оренбургской области </w:t>
            </w:r>
            <w:r>
              <w:rPr>
                <w:sz w:val="23"/>
                <w:szCs w:val="23"/>
                <w:highlight w:val="none"/>
              </w:rPr>
              <w:t xml:space="preserve">в 202</w:t>
            </w: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  <w:t xml:space="preserve"> году произведена в соот</w:t>
            </w:r>
            <w:r>
              <w:rPr>
                <w:sz w:val="23"/>
                <w:szCs w:val="23"/>
                <w:highlight w:val="none"/>
              </w:rPr>
              <w:t xml:space="preserve">ветствии с указом Губернатора Оренбургской области</w:t>
            </w:r>
            <w:r>
              <w:rPr>
                <w:sz w:val="23"/>
                <w:szCs w:val="23"/>
                <w:highlight w:val="none"/>
              </w:rPr>
              <w:t xml:space="preserve"> от 18</w:t>
            </w:r>
            <w:r>
              <w:rPr>
                <w:sz w:val="23"/>
                <w:szCs w:val="23"/>
                <w:highlight w:val="none"/>
              </w:rPr>
              <w:t xml:space="preserve"> декабря 2024 года № 644</w:t>
            </w:r>
            <w:r>
              <w:rPr>
                <w:sz w:val="23"/>
                <w:szCs w:val="23"/>
                <w:highlight w:val="none"/>
              </w:rPr>
              <w:t xml:space="preserve">-ук </w:t>
            </w:r>
            <w:r>
              <w:rPr>
                <w:sz w:val="23"/>
                <w:szCs w:val="23"/>
                <w:highlight w:val="none"/>
              </w:rPr>
              <w:t xml:space="preserve">«Об индексации» </w:t>
            </w:r>
            <w:r>
              <w:rPr>
                <w:sz w:val="23"/>
                <w:szCs w:val="23"/>
                <w:highlight w:val="none"/>
              </w:rPr>
              <w:t xml:space="preserve">(ДСП)</w:t>
            </w:r>
            <w:r>
              <w:rPr>
                <w:sz w:val="23"/>
                <w:szCs w:val="23"/>
                <w:highlight w:val="none"/>
              </w:rPr>
              <w:t xml:space="preserve">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shd w:val="clear" w:color="auto" w:fill="auto"/>
            <w:tcW w:w="3098" w:type="dxa"/>
            <w:textDirection w:val="lrTb"/>
            <w:noWrap w:val="false"/>
          </w:tcPr>
          <w:p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134" w:right="851" w:bottom="28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jaVu Sans">
    <w:panose1 w:val="020B06030308040202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jc w:val="left"/>
      <w:rPr>
        <w:rStyle w:val="955"/>
        <w:sz w:val="24"/>
        <w:szCs w:val="24"/>
      </w:rPr>
      <w:framePr w:wrap="around" w:vAnchor="text" w:hAnchor="margin" w:xAlign="center" w:y="1"/>
    </w:pPr>
    <w:r>
      <w:rPr>
        <w:rStyle w:val="955"/>
        <w:sz w:val="24"/>
        <w:szCs w:val="24"/>
      </w:rPr>
    </w:r>
    <w:r>
      <w:rPr>
        <w:rStyle w:val="955"/>
        <w:sz w:val="24"/>
        <w:szCs w:val="24"/>
      </w:rPr>
    </w:r>
    <w:r>
      <w:rPr>
        <w:rStyle w:val="955"/>
        <w:sz w:val="24"/>
        <w:szCs w:val="24"/>
      </w:rPr>
    </w:r>
  </w:p>
  <w:p>
    <w:pPr>
      <w:pStyle w:val="95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rPr>
        <w:rStyle w:val="955"/>
      </w:rPr>
      <w:framePr w:wrap="around" w:vAnchor="text" w:hAnchor="margin" w:xAlign="center" w:y="1"/>
    </w:pPr>
    <w:r>
      <w:rPr>
        <w:rStyle w:val="955"/>
      </w:rPr>
      <w:fldChar w:fldCharType="begin"/>
    </w:r>
    <w:r>
      <w:rPr>
        <w:rStyle w:val="955"/>
      </w:rPr>
      <w:instrText xml:space="preserve">PAGE  </w:instrText>
    </w:r>
    <w:r>
      <w:rPr>
        <w:rStyle w:val="955"/>
      </w:rPr>
      <w:fldChar w:fldCharType="end"/>
    </w:r>
    <w:r>
      <w:rPr>
        <w:rStyle w:val="955"/>
      </w:rPr>
    </w:r>
    <w:r>
      <w:rPr>
        <w:rStyle w:val="955"/>
      </w:rPr>
    </w:r>
  </w:p>
  <w:p>
    <w:pPr>
      <w:pStyle w:val="95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41" w:hanging="624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9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8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7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8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8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1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7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1" w:hanging="924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96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7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num w:numId="1">
    <w:abstractNumId w:val="5"/>
  </w:num>
  <w:num w:numId="2">
    <w:abstractNumId w:val="33"/>
  </w:num>
  <w:num w:numId="3">
    <w:abstractNumId w:val="12"/>
  </w:num>
  <w:num w:numId="4">
    <w:abstractNumId w:val="19"/>
  </w:num>
  <w:num w:numId="5">
    <w:abstractNumId w:val="6"/>
  </w:num>
  <w:num w:numId="6">
    <w:abstractNumId w:val="14"/>
  </w:num>
  <w:num w:numId="7">
    <w:abstractNumId w:val="21"/>
  </w:num>
  <w:num w:numId="8">
    <w:abstractNumId w:val="24"/>
  </w:num>
  <w:num w:numId="9">
    <w:abstractNumId w:val="11"/>
  </w:num>
  <w:num w:numId="10">
    <w:abstractNumId w:val="35"/>
  </w:num>
  <w:num w:numId="11">
    <w:abstractNumId w:val="2"/>
  </w:num>
  <w:num w:numId="12">
    <w:abstractNumId w:val="20"/>
  </w:num>
  <w:num w:numId="13">
    <w:abstractNumId w:val="18"/>
  </w:num>
  <w:num w:numId="14">
    <w:abstractNumId w:val="7"/>
  </w:num>
  <w:num w:numId="15">
    <w:abstractNumId w:val="29"/>
  </w:num>
  <w:num w:numId="16">
    <w:abstractNumId w:val="30"/>
  </w:num>
  <w:num w:numId="17">
    <w:abstractNumId w:val="1"/>
  </w:num>
  <w:num w:numId="18">
    <w:abstractNumId w:val="34"/>
  </w:num>
  <w:num w:numId="19">
    <w:abstractNumId w:val="15"/>
  </w:num>
  <w:num w:numId="20">
    <w:abstractNumId w:val="9"/>
  </w:num>
  <w:num w:numId="21">
    <w:abstractNumId w:val="22"/>
  </w:num>
  <w:num w:numId="22">
    <w:abstractNumId w:val="26"/>
  </w:num>
  <w:num w:numId="23">
    <w:abstractNumId w:val="16"/>
  </w:num>
  <w:num w:numId="24">
    <w:abstractNumId w:val="25"/>
  </w:num>
  <w:num w:numId="25">
    <w:abstractNumId w:val="17"/>
  </w:num>
  <w:num w:numId="26">
    <w:abstractNumId w:val="8"/>
  </w:num>
  <w:num w:numId="27">
    <w:abstractNumId w:val="23"/>
  </w:num>
  <w:num w:numId="28">
    <w:abstractNumId w:val="32"/>
  </w:num>
  <w:num w:numId="29">
    <w:abstractNumId w:val="13"/>
  </w:num>
  <w:num w:numId="30">
    <w:abstractNumId w:val="28"/>
  </w:num>
  <w:num w:numId="31">
    <w:abstractNumId w:val="0"/>
  </w:num>
  <w:num w:numId="32">
    <w:abstractNumId w:val="31"/>
  </w:num>
  <w:num w:numId="33">
    <w:abstractNumId w:val="3"/>
  </w:num>
  <w:num w:numId="34">
    <w:abstractNumId w:val="4"/>
  </w:num>
  <w:num w:numId="35">
    <w:abstractNumId w:val="36"/>
  </w:num>
  <w:num w:numId="36">
    <w:abstractNumId w:val="37"/>
  </w:num>
  <w:num w:numId="37">
    <w:abstractNumId w:val="10"/>
  </w:num>
  <w:num w:numId="38">
    <w:abstractNumId w:val="27"/>
  </w:num>
  <w:num w:numId="39">
    <w:abstractNumId w:val="3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1">
    <w:name w:val="Heading 1 Char"/>
    <w:basedOn w:val="945"/>
    <w:link w:val="942"/>
    <w:uiPriority w:val="9"/>
    <w:rPr>
      <w:rFonts w:ascii="Arial" w:hAnsi="Arial" w:eastAsia="Arial" w:cs="Arial"/>
      <w:sz w:val="40"/>
      <w:szCs w:val="40"/>
    </w:rPr>
  </w:style>
  <w:style w:type="paragraph" w:styleId="772">
    <w:name w:val="Heading 2"/>
    <w:basedOn w:val="941"/>
    <w:next w:val="941"/>
    <w:link w:val="7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3">
    <w:name w:val="Heading 2 Char"/>
    <w:basedOn w:val="945"/>
    <w:link w:val="772"/>
    <w:uiPriority w:val="9"/>
    <w:rPr>
      <w:rFonts w:ascii="Arial" w:hAnsi="Arial" w:eastAsia="Arial" w:cs="Arial"/>
      <w:sz w:val="34"/>
    </w:rPr>
  </w:style>
  <w:style w:type="paragraph" w:styleId="774">
    <w:name w:val="Heading 3"/>
    <w:basedOn w:val="941"/>
    <w:next w:val="941"/>
    <w:link w:val="7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5">
    <w:name w:val="Heading 3 Char"/>
    <w:basedOn w:val="945"/>
    <w:link w:val="774"/>
    <w:uiPriority w:val="9"/>
    <w:rPr>
      <w:rFonts w:ascii="Arial" w:hAnsi="Arial" w:eastAsia="Arial" w:cs="Arial"/>
      <w:sz w:val="30"/>
      <w:szCs w:val="30"/>
    </w:rPr>
  </w:style>
  <w:style w:type="character" w:styleId="776">
    <w:name w:val="Heading 4 Char"/>
    <w:basedOn w:val="945"/>
    <w:link w:val="943"/>
    <w:uiPriority w:val="9"/>
    <w:rPr>
      <w:rFonts w:ascii="Arial" w:hAnsi="Arial" w:eastAsia="Arial" w:cs="Arial"/>
      <w:b/>
      <w:bCs/>
      <w:sz w:val="26"/>
      <w:szCs w:val="26"/>
    </w:rPr>
  </w:style>
  <w:style w:type="paragraph" w:styleId="777">
    <w:name w:val="Heading 5"/>
    <w:basedOn w:val="941"/>
    <w:next w:val="941"/>
    <w:link w:val="7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8">
    <w:name w:val="Heading 5 Char"/>
    <w:basedOn w:val="945"/>
    <w:link w:val="777"/>
    <w:uiPriority w:val="9"/>
    <w:rPr>
      <w:rFonts w:ascii="Arial" w:hAnsi="Arial" w:eastAsia="Arial" w:cs="Arial"/>
      <w:b/>
      <w:bCs/>
      <w:sz w:val="24"/>
      <w:szCs w:val="24"/>
    </w:rPr>
  </w:style>
  <w:style w:type="character" w:styleId="779">
    <w:name w:val="Heading 6 Char"/>
    <w:basedOn w:val="945"/>
    <w:link w:val="944"/>
    <w:uiPriority w:val="9"/>
    <w:rPr>
      <w:rFonts w:ascii="Arial" w:hAnsi="Arial" w:eastAsia="Arial" w:cs="Arial"/>
      <w:b/>
      <w:bCs/>
      <w:sz w:val="22"/>
      <w:szCs w:val="22"/>
    </w:rPr>
  </w:style>
  <w:style w:type="paragraph" w:styleId="780">
    <w:name w:val="Heading 7"/>
    <w:basedOn w:val="941"/>
    <w:next w:val="941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1">
    <w:name w:val="Heading 7 Char"/>
    <w:basedOn w:val="945"/>
    <w:link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2">
    <w:name w:val="Heading 8"/>
    <w:basedOn w:val="941"/>
    <w:next w:val="941"/>
    <w:link w:val="7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3">
    <w:name w:val="Heading 8 Char"/>
    <w:basedOn w:val="945"/>
    <w:link w:val="782"/>
    <w:uiPriority w:val="9"/>
    <w:rPr>
      <w:rFonts w:ascii="Arial" w:hAnsi="Arial" w:eastAsia="Arial" w:cs="Arial"/>
      <w:i/>
      <w:iCs/>
      <w:sz w:val="22"/>
      <w:szCs w:val="22"/>
    </w:rPr>
  </w:style>
  <w:style w:type="paragraph" w:styleId="784">
    <w:name w:val="Heading 9"/>
    <w:basedOn w:val="941"/>
    <w:next w:val="941"/>
    <w:link w:val="7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5">
    <w:name w:val="Heading 9 Char"/>
    <w:basedOn w:val="945"/>
    <w:link w:val="784"/>
    <w:uiPriority w:val="9"/>
    <w:rPr>
      <w:rFonts w:ascii="Arial" w:hAnsi="Arial" w:eastAsia="Arial" w:cs="Arial"/>
      <w:i/>
      <w:iCs/>
      <w:sz w:val="21"/>
      <w:szCs w:val="21"/>
    </w:rPr>
  </w:style>
  <w:style w:type="paragraph" w:styleId="786">
    <w:name w:val="Title"/>
    <w:basedOn w:val="941"/>
    <w:next w:val="941"/>
    <w:link w:val="7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7">
    <w:name w:val="Title Char"/>
    <w:basedOn w:val="945"/>
    <w:link w:val="786"/>
    <w:uiPriority w:val="10"/>
    <w:rPr>
      <w:sz w:val="48"/>
      <w:szCs w:val="48"/>
    </w:rPr>
  </w:style>
  <w:style w:type="paragraph" w:styleId="788">
    <w:name w:val="Subtitle"/>
    <w:basedOn w:val="941"/>
    <w:next w:val="941"/>
    <w:link w:val="789"/>
    <w:uiPriority w:val="11"/>
    <w:qFormat/>
    <w:pPr>
      <w:spacing w:before="200" w:after="200"/>
    </w:pPr>
    <w:rPr>
      <w:sz w:val="24"/>
      <w:szCs w:val="24"/>
    </w:rPr>
  </w:style>
  <w:style w:type="character" w:styleId="789">
    <w:name w:val="Subtitle Char"/>
    <w:basedOn w:val="945"/>
    <w:link w:val="788"/>
    <w:uiPriority w:val="11"/>
    <w:rPr>
      <w:sz w:val="24"/>
      <w:szCs w:val="24"/>
    </w:rPr>
  </w:style>
  <w:style w:type="paragraph" w:styleId="790">
    <w:name w:val="Quote"/>
    <w:basedOn w:val="941"/>
    <w:next w:val="941"/>
    <w:link w:val="791"/>
    <w:uiPriority w:val="29"/>
    <w:qFormat/>
    <w:pPr>
      <w:ind w:left="720" w:right="720"/>
    </w:pPr>
    <w:rPr>
      <w:i/>
    </w:rPr>
  </w:style>
  <w:style w:type="character" w:styleId="791">
    <w:name w:val="Quote Char"/>
    <w:link w:val="790"/>
    <w:uiPriority w:val="29"/>
    <w:rPr>
      <w:i/>
    </w:rPr>
  </w:style>
  <w:style w:type="paragraph" w:styleId="792">
    <w:name w:val="Intense Quote"/>
    <w:basedOn w:val="941"/>
    <w:next w:val="941"/>
    <w:link w:val="7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3">
    <w:name w:val="Intense Quote Char"/>
    <w:link w:val="792"/>
    <w:uiPriority w:val="30"/>
    <w:rPr>
      <w:i/>
    </w:rPr>
  </w:style>
  <w:style w:type="character" w:styleId="794">
    <w:name w:val="Header Char"/>
    <w:basedOn w:val="945"/>
    <w:link w:val="953"/>
    <w:uiPriority w:val="99"/>
  </w:style>
  <w:style w:type="character" w:styleId="795">
    <w:name w:val="Footer Char"/>
    <w:basedOn w:val="945"/>
    <w:link w:val="956"/>
    <w:uiPriority w:val="99"/>
  </w:style>
  <w:style w:type="paragraph" w:styleId="796">
    <w:name w:val="Caption"/>
    <w:basedOn w:val="941"/>
    <w:next w:val="941"/>
    <w:link w:val="7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7">
    <w:name w:val="Caption Char"/>
    <w:basedOn w:val="945"/>
    <w:link w:val="796"/>
    <w:uiPriority w:val="35"/>
    <w:rPr>
      <w:b/>
      <w:bCs/>
      <w:color w:val="4f81bd" w:themeColor="accent1"/>
      <w:sz w:val="18"/>
      <w:szCs w:val="18"/>
    </w:rPr>
  </w:style>
  <w:style w:type="table" w:styleId="798">
    <w:name w:val="Table Grid Light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>
    <w:name w:val="Plain Table 1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2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>
    <w:name w:val="Plain Table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Plain Table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>
    <w:name w:val="Grid Table 1 Light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4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>
    <w:name w:val="Grid Table 4 - Accent 1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7">
    <w:name w:val="Grid Table 4 - Accent 2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8">
    <w:name w:val="Grid Table 4 - Accent 3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9">
    <w:name w:val="Grid Table 4 - Accent 4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0">
    <w:name w:val="Grid Table 4 - Accent 5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1">
    <w:name w:val="Grid Table 4 - Accent 6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2">
    <w:name w:val="Grid Table 5 Dark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3">
    <w:name w:val="Grid Table 5 Dark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9">
    <w:name w:val="Grid Table 6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0">
    <w:name w:val="Grid Table 6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1">
    <w:name w:val="Grid Table 6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2">
    <w:name w:val="Grid Table 6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3">
    <w:name w:val="Grid Table 6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4">
    <w:name w:val="Grid Table 6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5">
    <w:name w:val="Grid Table 6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6">
    <w:name w:val="Grid Table 7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1">
    <w:name w:val="List Table 2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2">
    <w:name w:val="List Table 2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3">
    <w:name w:val="List Table 2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4">
    <w:name w:val="List Table 2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5">
    <w:name w:val="List Table 2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6">
    <w:name w:val="List Table 2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7">
    <w:name w:val="List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5 Dark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6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9">
    <w:name w:val="List Table 6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0">
    <w:name w:val="List Table 6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1">
    <w:name w:val="List Table 6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2">
    <w:name w:val="List Table 6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3">
    <w:name w:val="List Table 6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4">
    <w:name w:val="List Table 6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5">
    <w:name w:val="List Table 7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6">
    <w:name w:val="List Table 7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7">
    <w:name w:val="List Table 7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8">
    <w:name w:val="List Table 7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9">
    <w:name w:val="List Table 7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0">
    <w:name w:val="List Table 7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1">
    <w:name w:val="List Table 7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2">
    <w:name w:val="Lined - Accent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3">
    <w:name w:val="Lined - Accent 1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4">
    <w:name w:val="Lined - Accent 2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5">
    <w:name w:val="Lined - Accent 3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6">
    <w:name w:val="Lined - Accent 4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7">
    <w:name w:val="Lined - Accent 5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8">
    <w:name w:val="Lined - Accent 6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9">
    <w:name w:val="Bordered &amp; Lined - Accent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0">
    <w:name w:val="Bordered &amp; Lined - Accent 1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1">
    <w:name w:val="Bordered &amp; Lined - Accent 2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2">
    <w:name w:val="Bordered &amp; Lined - Accent 3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3">
    <w:name w:val="Bordered &amp; Lined - Accent 4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4">
    <w:name w:val="Bordered &amp; Lined - Accent 5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5">
    <w:name w:val="Bordered &amp; Lined - Accent 6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6">
    <w:name w:val="Bordered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7">
    <w:name w:val="Bordered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8">
    <w:name w:val="Bordered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9">
    <w:name w:val="Bordered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0">
    <w:name w:val="Bordered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1">
    <w:name w:val="Bordered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2">
    <w:name w:val="Bordered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3">
    <w:name w:val="Hyperlink"/>
    <w:uiPriority w:val="99"/>
    <w:unhideWhenUsed/>
    <w:rPr>
      <w:color w:val="0000ff" w:themeColor="hyperlink"/>
      <w:u w:val="single"/>
    </w:rPr>
  </w:style>
  <w:style w:type="paragraph" w:styleId="924">
    <w:name w:val="footnote text"/>
    <w:basedOn w:val="941"/>
    <w:link w:val="925"/>
    <w:uiPriority w:val="99"/>
    <w:semiHidden/>
    <w:unhideWhenUsed/>
    <w:pPr>
      <w:spacing w:after="40" w:line="240" w:lineRule="auto"/>
    </w:pPr>
    <w:rPr>
      <w:sz w:val="18"/>
    </w:rPr>
  </w:style>
  <w:style w:type="character" w:styleId="925">
    <w:name w:val="Footnote Text Char"/>
    <w:link w:val="924"/>
    <w:uiPriority w:val="99"/>
    <w:rPr>
      <w:sz w:val="18"/>
    </w:rPr>
  </w:style>
  <w:style w:type="character" w:styleId="926">
    <w:name w:val="footnote reference"/>
    <w:basedOn w:val="945"/>
    <w:uiPriority w:val="99"/>
    <w:unhideWhenUsed/>
    <w:rPr>
      <w:vertAlign w:val="superscript"/>
    </w:rPr>
  </w:style>
  <w:style w:type="paragraph" w:styleId="927">
    <w:name w:val="endnote text"/>
    <w:basedOn w:val="941"/>
    <w:link w:val="928"/>
    <w:uiPriority w:val="99"/>
    <w:semiHidden/>
    <w:unhideWhenUsed/>
    <w:pPr>
      <w:spacing w:after="0" w:line="240" w:lineRule="auto"/>
    </w:pPr>
    <w:rPr>
      <w:sz w:val="20"/>
    </w:rPr>
  </w:style>
  <w:style w:type="character" w:styleId="928">
    <w:name w:val="Endnote Text Char"/>
    <w:link w:val="927"/>
    <w:uiPriority w:val="99"/>
    <w:rPr>
      <w:sz w:val="20"/>
    </w:rPr>
  </w:style>
  <w:style w:type="character" w:styleId="929">
    <w:name w:val="endnote reference"/>
    <w:basedOn w:val="945"/>
    <w:uiPriority w:val="99"/>
    <w:semiHidden/>
    <w:unhideWhenUsed/>
    <w:rPr>
      <w:vertAlign w:val="superscript"/>
    </w:rPr>
  </w:style>
  <w:style w:type="paragraph" w:styleId="930">
    <w:name w:val="toc 1"/>
    <w:basedOn w:val="941"/>
    <w:next w:val="941"/>
    <w:uiPriority w:val="39"/>
    <w:unhideWhenUsed/>
    <w:pPr>
      <w:ind w:left="0" w:right="0" w:firstLine="0"/>
      <w:spacing w:after="57"/>
    </w:pPr>
  </w:style>
  <w:style w:type="paragraph" w:styleId="931">
    <w:name w:val="toc 2"/>
    <w:basedOn w:val="941"/>
    <w:next w:val="941"/>
    <w:uiPriority w:val="39"/>
    <w:unhideWhenUsed/>
    <w:pPr>
      <w:ind w:left="283" w:right="0" w:firstLine="0"/>
      <w:spacing w:after="57"/>
    </w:pPr>
  </w:style>
  <w:style w:type="paragraph" w:styleId="932">
    <w:name w:val="toc 3"/>
    <w:basedOn w:val="941"/>
    <w:next w:val="941"/>
    <w:uiPriority w:val="39"/>
    <w:unhideWhenUsed/>
    <w:pPr>
      <w:ind w:left="567" w:right="0" w:firstLine="0"/>
      <w:spacing w:after="57"/>
    </w:pPr>
  </w:style>
  <w:style w:type="paragraph" w:styleId="933">
    <w:name w:val="toc 4"/>
    <w:basedOn w:val="941"/>
    <w:next w:val="941"/>
    <w:uiPriority w:val="39"/>
    <w:unhideWhenUsed/>
    <w:pPr>
      <w:ind w:left="850" w:right="0" w:firstLine="0"/>
      <w:spacing w:after="57"/>
    </w:pPr>
  </w:style>
  <w:style w:type="paragraph" w:styleId="934">
    <w:name w:val="toc 5"/>
    <w:basedOn w:val="941"/>
    <w:next w:val="941"/>
    <w:uiPriority w:val="39"/>
    <w:unhideWhenUsed/>
    <w:pPr>
      <w:ind w:left="1134" w:right="0" w:firstLine="0"/>
      <w:spacing w:after="57"/>
    </w:pPr>
  </w:style>
  <w:style w:type="paragraph" w:styleId="935">
    <w:name w:val="toc 6"/>
    <w:basedOn w:val="941"/>
    <w:next w:val="941"/>
    <w:uiPriority w:val="39"/>
    <w:unhideWhenUsed/>
    <w:pPr>
      <w:ind w:left="1417" w:right="0" w:firstLine="0"/>
      <w:spacing w:after="57"/>
    </w:pPr>
  </w:style>
  <w:style w:type="paragraph" w:styleId="936">
    <w:name w:val="toc 7"/>
    <w:basedOn w:val="941"/>
    <w:next w:val="941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941"/>
    <w:next w:val="941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941"/>
    <w:next w:val="941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941"/>
    <w:next w:val="941"/>
    <w:uiPriority w:val="99"/>
    <w:unhideWhenUsed/>
    <w:pPr>
      <w:spacing w:after="0" w:afterAutospacing="0"/>
    </w:pPr>
  </w:style>
  <w:style w:type="paragraph" w:styleId="941" w:default="1">
    <w:name w:val="Normal"/>
    <w:qFormat/>
    <w:rPr>
      <w:sz w:val="24"/>
      <w:szCs w:val="24"/>
    </w:rPr>
  </w:style>
  <w:style w:type="paragraph" w:styleId="942">
    <w:name w:val="Heading 1"/>
    <w:basedOn w:val="941"/>
    <w:next w:val="941"/>
    <w:link w:val="970"/>
    <w:uiPriority w:val="9"/>
    <w:qFormat/>
    <w:pPr>
      <w:keepLines/>
      <w:keepNext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943">
    <w:name w:val="Heading 4"/>
    <w:basedOn w:val="941"/>
    <w:next w:val="941"/>
    <w:link w:val="961"/>
    <w:uiPriority w:val="99"/>
    <w:qFormat/>
    <w:pPr>
      <w:ind w:left="705"/>
      <w:jc w:val="both"/>
      <w:keepNext/>
      <w:outlineLvl w:val="3"/>
    </w:pPr>
    <w:rPr>
      <w:sz w:val="28"/>
      <w:szCs w:val="28"/>
    </w:rPr>
  </w:style>
  <w:style w:type="paragraph" w:styleId="944">
    <w:name w:val="Heading 6"/>
    <w:basedOn w:val="941"/>
    <w:next w:val="941"/>
    <w:link w:val="962"/>
    <w:uiPriority w:val="9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styleId="945" w:default="1">
    <w:name w:val="Default Paragraph Font"/>
    <w:uiPriority w:val="1"/>
    <w:semiHidden/>
    <w:unhideWhenUsed/>
  </w:style>
  <w:style w:type="table" w:styleId="9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7" w:default="1">
    <w:name w:val="No List"/>
    <w:uiPriority w:val="99"/>
    <w:semiHidden/>
    <w:unhideWhenUsed/>
  </w:style>
  <w:style w:type="table" w:styleId="948">
    <w:name w:val="Table Grid"/>
    <w:basedOn w:val="94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9">
    <w:name w:val="Body Text Indent"/>
    <w:basedOn w:val="941"/>
    <w:link w:val="959"/>
    <w:uiPriority w:val="99"/>
    <w:pPr>
      <w:ind w:firstLine="708"/>
      <w:jc w:val="both"/>
    </w:pPr>
    <w:rPr>
      <w:sz w:val="28"/>
      <w:szCs w:val="28"/>
    </w:rPr>
  </w:style>
  <w:style w:type="paragraph" w:styleId="95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51" w:customStyle="1">
    <w:name w:val="ConsNormal"/>
    <w:uiPriority w:val="99"/>
    <w:pPr>
      <w:ind w:right="19772" w:firstLine="720"/>
    </w:pPr>
    <w:rPr>
      <w:rFonts w:ascii="Arial" w:hAnsi="Arial" w:cs="Arial"/>
    </w:rPr>
  </w:style>
  <w:style w:type="paragraph" w:styleId="952">
    <w:name w:val="Body Text"/>
    <w:basedOn w:val="941"/>
    <w:link w:val="963"/>
    <w:pPr>
      <w:spacing w:after="120"/>
    </w:pPr>
  </w:style>
  <w:style w:type="paragraph" w:styleId="953">
    <w:name w:val="Header"/>
    <w:basedOn w:val="941"/>
    <w:link w:val="954"/>
    <w:unhideWhenUsed/>
    <w:pPr>
      <w:jc w:val="center"/>
      <w:tabs>
        <w:tab w:val="center" w:pos="4677" w:leader="none"/>
        <w:tab w:val="right" w:pos="9355" w:leader="none"/>
      </w:tabs>
    </w:pPr>
    <w:rPr>
      <w:rFonts w:eastAsia="Calibri"/>
      <w:sz w:val="28"/>
      <w:szCs w:val="22"/>
      <w:lang w:eastAsia="en-US"/>
    </w:rPr>
  </w:style>
  <w:style w:type="character" w:styleId="954" w:customStyle="1">
    <w:name w:val="Верхний колонтитул Знак"/>
    <w:basedOn w:val="945"/>
    <w:link w:val="953"/>
    <w:rPr>
      <w:rFonts w:eastAsia="Calibri"/>
      <w:sz w:val="28"/>
      <w:szCs w:val="22"/>
      <w:lang w:val="ru-RU" w:eastAsia="en-US" w:bidi="ar-SA"/>
    </w:rPr>
  </w:style>
  <w:style w:type="character" w:styleId="955">
    <w:name w:val="page number"/>
    <w:basedOn w:val="945"/>
  </w:style>
  <w:style w:type="paragraph" w:styleId="956">
    <w:name w:val="Footer"/>
    <w:basedOn w:val="941"/>
    <w:pPr>
      <w:tabs>
        <w:tab w:val="center" w:pos="4677" w:leader="none"/>
        <w:tab w:val="right" w:pos="9355" w:leader="none"/>
      </w:tabs>
    </w:pPr>
  </w:style>
  <w:style w:type="paragraph" w:styleId="957">
    <w:name w:val="Balloon Text"/>
    <w:basedOn w:val="941"/>
    <w:link w:val="958"/>
    <w:uiPriority w:val="99"/>
    <w:semiHidden/>
    <w:unhideWhenUsed/>
    <w:rPr>
      <w:rFonts w:ascii="Tahoma" w:hAnsi="Tahoma" w:cs="Tahoma"/>
      <w:sz w:val="16"/>
      <w:szCs w:val="16"/>
    </w:rPr>
  </w:style>
  <w:style w:type="character" w:styleId="958" w:customStyle="1">
    <w:name w:val="Текст выноски Знак"/>
    <w:basedOn w:val="945"/>
    <w:link w:val="957"/>
    <w:uiPriority w:val="99"/>
    <w:semiHidden/>
    <w:rPr>
      <w:rFonts w:ascii="Tahoma" w:hAnsi="Tahoma" w:cs="Tahoma"/>
      <w:sz w:val="16"/>
      <w:szCs w:val="16"/>
    </w:rPr>
  </w:style>
  <w:style w:type="character" w:styleId="959" w:customStyle="1">
    <w:name w:val="Основной текст с отступом Знак1"/>
    <w:basedOn w:val="945"/>
    <w:link w:val="949"/>
    <w:rPr>
      <w:sz w:val="28"/>
      <w:szCs w:val="28"/>
      <w:lang w:val="ru-RU" w:eastAsia="ru-RU" w:bidi="ar-SA"/>
    </w:rPr>
  </w:style>
  <w:style w:type="paragraph" w:styleId="960">
    <w:name w:val="Body Text Indent 2"/>
    <w:basedOn w:val="941"/>
    <w:pPr>
      <w:ind w:left="283"/>
      <w:spacing w:after="120" w:line="480" w:lineRule="auto"/>
    </w:pPr>
  </w:style>
  <w:style w:type="character" w:styleId="961" w:customStyle="1">
    <w:name w:val="Заголовок 4 Знак"/>
    <w:basedOn w:val="945"/>
    <w:link w:val="943"/>
    <w:uiPriority w:val="99"/>
    <w:rPr>
      <w:sz w:val="28"/>
      <w:szCs w:val="28"/>
    </w:rPr>
  </w:style>
  <w:style w:type="character" w:styleId="962" w:customStyle="1">
    <w:name w:val="Заголовок 6 Знак"/>
    <w:basedOn w:val="945"/>
    <w:link w:val="944"/>
    <w:uiPriority w:val="99"/>
    <w:rPr>
      <w:rFonts w:ascii="Calibri" w:hAnsi="Calibri" w:eastAsia="Times New Roman" w:cs="Times New Roman"/>
      <w:b/>
      <w:bCs/>
      <w:sz w:val="22"/>
      <w:szCs w:val="22"/>
    </w:rPr>
  </w:style>
  <w:style w:type="character" w:styleId="963" w:customStyle="1">
    <w:name w:val="Основной текст Знак"/>
    <w:basedOn w:val="945"/>
    <w:link w:val="952"/>
    <w:uiPriority w:val="99"/>
    <w:rPr>
      <w:sz w:val="24"/>
      <w:szCs w:val="24"/>
    </w:rPr>
  </w:style>
  <w:style w:type="paragraph" w:styleId="964" w:customStyle="1">
    <w:name w:val="ConsPlusTitle"/>
    <w:uiPriority w:val="99"/>
    <w:pPr>
      <w:widowControl w:val="off"/>
    </w:pPr>
    <w:rPr>
      <w:b/>
      <w:bCs/>
    </w:rPr>
  </w:style>
  <w:style w:type="character" w:styleId="965" w:customStyle="1">
    <w:name w:val="Цветовое выделение"/>
    <w:uiPriority w:val="99"/>
    <w:rPr>
      <w:b/>
      <w:bCs/>
      <w:color w:val="26282f"/>
    </w:rPr>
  </w:style>
  <w:style w:type="character" w:styleId="966" w:customStyle="1">
    <w:name w:val="Гипертекстовая ссылка"/>
    <w:basedOn w:val="965"/>
    <w:uiPriority w:val="99"/>
    <w:rPr>
      <w:b/>
      <w:bCs/>
      <w:color w:val="106bbe"/>
    </w:rPr>
  </w:style>
  <w:style w:type="paragraph" w:styleId="967">
    <w:name w:val="List Paragraph"/>
    <w:basedOn w:val="941"/>
    <w:uiPriority w:val="99"/>
    <w:qFormat/>
    <w:pPr>
      <w:ind w:left="708"/>
    </w:pPr>
  </w:style>
  <w:style w:type="paragraph" w:styleId="968">
    <w:name w:val="No Spacing"/>
    <w:link w:val="969"/>
    <w:uiPriority w:val="1"/>
    <w:qFormat/>
    <w:rPr>
      <w:rFonts w:ascii="Calibri" w:hAnsi="Calibri"/>
      <w:sz w:val="22"/>
      <w:szCs w:val="22"/>
    </w:rPr>
  </w:style>
  <w:style w:type="character" w:styleId="969" w:customStyle="1">
    <w:name w:val="Без интервала Знак"/>
    <w:basedOn w:val="945"/>
    <w:link w:val="968"/>
    <w:uiPriority w:val="1"/>
    <w:rPr>
      <w:rFonts w:ascii="Calibri" w:hAnsi="Calibri"/>
      <w:sz w:val="22"/>
      <w:szCs w:val="22"/>
      <w:lang w:val="ru-RU" w:eastAsia="ru-RU" w:bidi="ar-SA"/>
    </w:rPr>
  </w:style>
  <w:style w:type="character" w:styleId="970" w:customStyle="1">
    <w:name w:val="Заголовок 1 Знак"/>
    <w:basedOn w:val="945"/>
    <w:link w:val="942"/>
    <w:uiPriority w:val="9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971" w:customStyle="1">
    <w:name w:val="Знак Знак4"/>
    <w:uiPriority w:val="99"/>
    <w:rPr>
      <w:rFonts w:cs="Times New Roman"/>
      <w:b/>
      <w:bCs/>
      <w:sz w:val="24"/>
      <w:szCs w:val="24"/>
    </w:rPr>
  </w:style>
  <w:style w:type="character" w:styleId="972">
    <w:name w:val="Emphasis"/>
    <w:basedOn w:val="945"/>
    <w:uiPriority w:val="20"/>
    <w:qFormat/>
    <w:rPr>
      <w:i/>
      <w:iCs/>
    </w:rPr>
  </w:style>
  <w:style w:type="paragraph" w:styleId="973" w:customStyle="1">
    <w:name w:val="Основной текст с отступом;Нумерованный список !!;Основной текст 1;Надин стиль;Основной текст без отступа"/>
    <w:link w:val="947"/>
    <w:uiPriority w:val="99"/>
    <w:pPr>
      <w:contextualSpacing w:val="0"/>
      <w:ind w:left="0" w:right="0" w:firstLine="708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74" w:customStyle="1">
    <w:name w:val="Block Quotation"/>
    <w:basedOn w:val="954"/>
    <w:qFormat/>
    <w:pPr>
      <w:contextualSpacing w:val="0"/>
      <w:ind w:left="567" w:right="-2" w:firstLine="851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DejaVu Sans" w:cs="DejaVu 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65881-920C-4B52-B94B-B4ECC428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статьи</dc:title>
  <dc:subject/>
  <dc:creator>budget03</dc:creator>
  <cp:keywords/>
  <dc:description/>
  <cp:lastModifiedBy>aakon</cp:lastModifiedBy>
  <cp:revision>28</cp:revision>
  <dcterms:created xsi:type="dcterms:W3CDTF">2025-02-17T09:51:00Z</dcterms:created>
  <dcterms:modified xsi:type="dcterms:W3CDTF">2026-04-14T05:58:01Z</dcterms:modified>
</cp:coreProperties>
</file>